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0EEAA097" w:rsidR="00960B44" w:rsidRPr="0039369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de-DE"/>
        </w:rPr>
      </w:pPr>
      <w:r w:rsidRPr="00393691">
        <w:rPr>
          <w:rFonts w:ascii="Times New Roman" w:eastAsia="宋体" w:hAnsi="Times New Roman" w:cs="Times New Roman"/>
          <w:b/>
          <w:noProof/>
          <w:sz w:val="24"/>
          <w:szCs w:val="20"/>
          <w:lang w:val="de-DE" w:eastAsia="zh-CN"/>
        </w:rPr>
        <w:t>3GPP TSG-RA</w:t>
      </w:r>
      <w:r w:rsidR="00E73984" w:rsidRPr="00393691">
        <w:rPr>
          <w:rFonts w:ascii="Times New Roman" w:eastAsia="宋体" w:hAnsi="Times New Roman" w:cs="Times New Roman"/>
          <w:b/>
          <w:noProof/>
          <w:sz w:val="24"/>
          <w:szCs w:val="20"/>
          <w:lang w:val="de-DE" w:eastAsia="zh-CN"/>
        </w:rPr>
        <w:t>N#11</w:t>
      </w:r>
      <w:r w:rsidR="001F657F">
        <w:rPr>
          <w:rFonts w:ascii="Times New Roman" w:eastAsia="宋体" w:hAnsi="Times New Roman" w:cs="Times New Roman"/>
          <w:b/>
          <w:noProof/>
          <w:sz w:val="24"/>
          <w:szCs w:val="20"/>
          <w:lang w:val="de-DE" w:eastAsia="zh-CN"/>
        </w:rPr>
        <w:t>9</w:t>
      </w:r>
      <w:r w:rsidR="00E73984" w:rsidRPr="00393691">
        <w:rPr>
          <w:rFonts w:ascii="Times New Roman" w:eastAsia="宋体" w:hAnsi="Times New Roman" w:cs="Times New Roman"/>
          <w:b/>
          <w:noProof/>
          <w:sz w:val="24"/>
          <w:szCs w:val="20"/>
          <w:lang w:val="de-DE" w:eastAsia="zh-CN"/>
        </w:rPr>
        <w:t>e</w:t>
      </w:r>
      <w:r w:rsidRPr="00393691">
        <w:rPr>
          <w:rFonts w:ascii="Times New Roman" w:eastAsia="宋体" w:hAnsi="Times New Roman" w:cs="Times New Roman"/>
          <w:b/>
          <w:noProof/>
          <w:sz w:val="24"/>
          <w:szCs w:val="20"/>
          <w:lang w:val="de-DE" w:eastAsia="zh-CN"/>
        </w:rPr>
        <w:tab/>
      </w:r>
      <w:r w:rsidR="00465354" w:rsidRPr="00465354">
        <w:rPr>
          <w:rFonts w:ascii="Times New Roman" w:eastAsia="宋体" w:hAnsi="Times New Roman" w:cs="Times New Roman"/>
          <w:b/>
          <w:noProof/>
          <w:sz w:val="24"/>
          <w:szCs w:val="20"/>
          <w:lang w:val="de-DE" w:eastAsia="zh-CN"/>
        </w:rPr>
        <w:t>R2-2207696</w:t>
      </w:r>
    </w:p>
    <w:p w14:paraId="6D7FEBCE" w14:textId="50B56BF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7022BC">
        <w:rPr>
          <w:rFonts w:ascii="Times New Roman" w:eastAsia="宋体" w:hAnsi="Times New Roman" w:cs="Times New Roman"/>
          <w:b/>
          <w:noProof/>
          <w:sz w:val="24"/>
          <w:szCs w:val="20"/>
          <w:lang w:eastAsia="zh-CN"/>
        </w:rPr>
        <w:t xml:space="preserve">Online, </w:t>
      </w:r>
      <w:r w:rsidR="00864147">
        <w:rPr>
          <w:rFonts w:ascii="Times New Roman" w:eastAsia="宋体" w:hAnsi="Times New Roman" w:cs="Times New Roman"/>
          <w:b/>
          <w:bCs/>
          <w:noProof/>
          <w:sz w:val="24"/>
          <w:szCs w:val="20"/>
        </w:rPr>
        <w:t>August</w:t>
      </w:r>
      <w:r w:rsidRPr="007022BC">
        <w:rPr>
          <w:rFonts w:ascii="Times New Roman" w:eastAsia="宋体" w:hAnsi="Times New Roman" w:cs="Times New Roman"/>
          <w:b/>
          <w:bCs/>
          <w:noProof/>
          <w:sz w:val="24"/>
          <w:szCs w:val="20"/>
        </w:rPr>
        <w:t xml:space="preserve"> 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509E1F3B"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9F6F3F">
        <w:rPr>
          <w:rFonts w:ascii="Times New Roman" w:eastAsia="宋体" w:hAnsi="Times New Roman" w:cs="Times New Roman"/>
          <w:b/>
          <w:bCs/>
          <w:kern w:val="2"/>
          <w:sz w:val="24"/>
          <w:lang w:eastAsia="zh-CN"/>
        </w:rPr>
        <w:t>8.</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0C31B4BA"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D279E" w:rsidRPr="00FD279E">
        <w:rPr>
          <w:rFonts w:ascii="Times New Roman" w:eastAsia="宋体" w:hAnsi="Times New Roman" w:cs="Times New Roman"/>
          <w:b/>
          <w:bCs/>
          <w:kern w:val="2"/>
          <w:sz w:val="24"/>
          <w:lang w:eastAsia="zh-CN"/>
        </w:rPr>
        <w:t>CHO with target MCG and candidate SCG</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0D460859" w:rsidR="00960B44" w:rsidRDefault="0065544D"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RAN#96-e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w:t>
      </w:r>
      <w:r w:rsidR="00B15E21" w:rsidRPr="00B15E21">
        <w:rPr>
          <w:rFonts w:ascii="Times New Roman" w:eastAsia="MS Mincho" w:hAnsi="Times New Roman" w:cs="Times New Roman"/>
          <w:bCs/>
          <w:sz w:val="20"/>
          <w:szCs w:val="20"/>
          <w:lang w:val="en-GB"/>
        </w:rPr>
        <w:t>including target MCG and candidate SCGs for CPC/CPA in NR-DC</w:t>
      </w:r>
      <w:r w:rsidRPr="0065544D">
        <w:rPr>
          <w:rFonts w:ascii="Times New Roman" w:eastAsia="MS Mincho" w:hAnsi="Times New Roman" w:cs="Times New Roman"/>
          <w:bCs/>
          <w:sz w:val="20"/>
          <w:szCs w:val="20"/>
          <w:lang w:val="en-GB"/>
        </w:rPr>
        <w:t>:</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14A3AD01" w14:textId="77777777" w:rsidR="00174555" w:rsidRPr="00185046" w:rsidRDefault="00174555" w:rsidP="00174555">
            <w:pPr>
              <w:overflowPunct w:val="0"/>
              <w:autoSpaceDE w:val="0"/>
              <w:autoSpaceDN w:val="0"/>
              <w:adjustRightInd w:val="0"/>
              <w:jc w:val="both"/>
              <w:textAlignment w:val="baseline"/>
              <w:rPr>
                <w:bCs/>
              </w:rPr>
            </w:pPr>
            <w:r>
              <w:rPr>
                <w:bCs/>
              </w:rPr>
              <w:t>To specify CHO including target MCG and candidate SCGs for CPC/CPA in NR-DC [RAN3, RAN2]</w:t>
            </w:r>
          </w:p>
          <w:p w14:paraId="6EB28FFA" w14:textId="659915E6" w:rsidR="00BA2F77" w:rsidRPr="009F2424" w:rsidRDefault="00174555" w:rsidP="00174555">
            <w:pPr>
              <w:numPr>
                <w:ilvl w:val="0"/>
                <w:numId w:val="4"/>
              </w:numPr>
              <w:overflowPunct w:val="0"/>
              <w:autoSpaceDE w:val="0"/>
              <w:autoSpaceDN w:val="0"/>
              <w:adjustRightInd w:val="0"/>
              <w:jc w:val="both"/>
              <w:textAlignment w:val="baseline"/>
              <w:rPr>
                <w:rFonts w:eastAsia="PMingLiU"/>
                <w:bCs/>
                <w:iCs/>
                <w:lang w:eastAsia="en-GB"/>
              </w:rPr>
            </w:pPr>
            <w:r>
              <w:rPr>
                <w:bCs/>
              </w:rPr>
              <w:t>CHO including target MCG and target SCG is used as the baseline</w:t>
            </w:r>
          </w:p>
        </w:tc>
      </w:tr>
    </w:tbl>
    <w:p w14:paraId="6D3882AF" w14:textId="29787FB1" w:rsidR="0065544D"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6CCCA78E"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document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target MCG and candidate SCGs for CPC/CPA</w:t>
      </w:r>
      <w:r w:rsidR="00174555">
        <w:rPr>
          <w:rFonts w:ascii="Times New Roman" w:eastAsia="MS Mincho" w:hAnsi="Times New Roman" w:cs="Times New Roman"/>
          <w:bCs/>
          <w:sz w:val="20"/>
          <w:szCs w:val="20"/>
          <w:lang w:val="en-GB"/>
        </w:rPr>
        <w:t xml:space="preserve"> in NR-DC</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04D99ED9" w14:textId="7F076D71" w:rsidR="00B15E21" w:rsidRDefault="00B15E21" w:rsidP="00B15E21">
      <w:pPr>
        <w:rPr>
          <w:rFonts w:ascii="Times New Roman" w:eastAsia="宋体" w:hAnsi="Times New Roman" w:cs="Times New Roman"/>
          <w:b/>
          <w:bCs/>
          <w:sz w:val="20"/>
          <w:szCs w:val="20"/>
          <w:lang w:eastAsia="zh-CN"/>
        </w:rPr>
      </w:pPr>
      <w:r w:rsidRPr="00445CFB">
        <w:rPr>
          <w:rFonts w:ascii="Times New Roman" w:eastAsia="宋体" w:hAnsi="Times New Roman" w:cs="Times New Roman"/>
          <w:sz w:val="20"/>
          <w:szCs w:val="20"/>
          <w:lang w:eastAsia="zh-CN"/>
        </w:rPr>
        <w:t>In rel-18 mobility, the following cases will be studied in which CHO can further embed another CPA/CPC</w:t>
      </w:r>
      <w:r>
        <w:rPr>
          <w:rFonts w:ascii="Times New Roman" w:eastAsia="宋体" w:hAnsi="Times New Roman" w:cs="Times New Roman"/>
          <w:sz w:val="20"/>
          <w:szCs w:val="20"/>
          <w:lang w:eastAsia="zh-CN"/>
        </w:rPr>
        <w:t xml:space="preserve"> [1]</w:t>
      </w:r>
      <w:r w:rsidRPr="00445CFB">
        <w:rPr>
          <w:rFonts w:ascii="Times New Roman" w:eastAsia="宋体" w:hAnsi="Times New Roman" w:cs="Times New Roman"/>
          <w:sz w:val="20"/>
          <w:szCs w:val="20"/>
          <w:lang w:eastAsia="zh-CN"/>
        </w:rPr>
        <w:t>.</w:t>
      </w:r>
    </w:p>
    <w:p w14:paraId="215BC752" w14:textId="070FD135" w:rsidR="00B15E21" w:rsidRPr="003B614B" w:rsidRDefault="00B15E21" w:rsidP="00B15E21">
      <w:pPr>
        <w:rPr>
          <w:rFonts w:ascii="Times New Roman" w:eastAsia="宋体" w:hAnsi="Times New Roman" w:cs="Times New Roman"/>
          <w:b/>
          <w:bCs/>
          <w:sz w:val="20"/>
          <w:szCs w:val="20"/>
          <w:lang w:eastAsia="zh-CN"/>
        </w:rPr>
      </w:pPr>
      <w:r w:rsidRPr="003B614B">
        <w:rPr>
          <w:rFonts w:ascii="Times New Roman" w:eastAsia="宋体" w:hAnsi="Times New Roman" w:cs="Times New Roman"/>
          <w:b/>
          <w:bCs/>
          <w:sz w:val="20"/>
          <w:szCs w:val="20"/>
          <w:lang w:eastAsia="zh-CN"/>
        </w:rPr>
        <w:t>Case 1: CHO including target MCG and candidate SCGs for CPA.</w:t>
      </w:r>
    </w:p>
    <w:p w14:paraId="58FA5A9F" w14:textId="017D029E" w:rsidR="00B15E21" w:rsidRPr="00EC695A" w:rsidRDefault="00B15E21" w:rsidP="00B15E21">
      <w:pPr>
        <w:pStyle w:val="a8"/>
        <w:numPr>
          <w:ilvl w:val="0"/>
          <w:numId w:val="18"/>
        </w:numPr>
        <w:spacing w:line="360" w:lineRule="auto"/>
        <w:rPr>
          <w:rFonts w:eastAsiaTheme="minorEastAsia"/>
          <w:bCs/>
          <w:lang w:val="en-US" w:eastAsia="zh-CN"/>
        </w:rPr>
      </w:pPr>
      <w:r w:rsidRPr="003C0B71">
        <w:rPr>
          <w:rFonts w:eastAsiaTheme="minorEastAsia" w:hint="eastAsia"/>
          <w:bCs/>
          <w:lang w:val="en-US" w:eastAsia="zh-CN"/>
        </w:rPr>
        <w:t>I</w:t>
      </w:r>
      <w:r w:rsidRPr="003C0B71">
        <w:rPr>
          <w:rFonts w:eastAsiaTheme="minorEastAsia"/>
          <w:bCs/>
          <w:lang w:val="en-US" w:eastAsia="zh-CN"/>
        </w:rPr>
        <w:t>n case1</w:t>
      </w:r>
      <w:r>
        <w:rPr>
          <w:rFonts w:eastAsiaTheme="minorEastAsia"/>
          <w:bCs/>
          <w:lang w:val="en-US" w:eastAsia="zh-CN"/>
        </w:rPr>
        <w:t>,</w:t>
      </w:r>
      <w:r w:rsidRPr="003C0B71">
        <w:rPr>
          <w:rFonts w:eastAsiaTheme="minorEastAsia"/>
          <w:bCs/>
          <w:lang w:val="en-US" w:eastAsia="zh-CN"/>
        </w:rPr>
        <w:t xml:space="preserve"> </w:t>
      </w:r>
      <w:r w:rsidR="0099122C">
        <w:rPr>
          <w:rFonts w:eastAsiaTheme="minorEastAsia"/>
          <w:bCs/>
          <w:lang w:val="en-US" w:eastAsia="zh-CN"/>
        </w:rPr>
        <w:t xml:space="preserve">UE is configured with DC or SA in source side. </w:t>
      </w:r>
      <w:r>
        <w:rPr>
          <w:rFonts w:eastAsiaTheme="minorEastAsia"/>
          <w:bCs/>
          <w:lang w:val="en-US" w:eastAsia="zh-CN"/>
        </w:rPr>
        <w:t>CHO configuration includes target MCG without target SCG. And the CPA is embedded in CHO configuration.</w:t>
      </w:r>
      <w:r w:rsidRPr="00EC695A">
        <w:rPr>
          <w:rFonts w:eastAsiaTheme="minorEastAsia"/>
          <w:bCs/>
          <w:lang w:val="en-US" w:eastAsia="zh-CN"/>
        </w:rPr>
        <w:t xml:space="preserve">  </w:t>
      </w:r>
    </w:p>
    <w:p w14:paraId="039A869C" w14:textId="29A170D7" w:rsidR="00B15E21" w:rsidRPr="003C0B71" w:rsidRDefault="00B15E21" w:rsidP="00B15E21">
      <w:pPr>
        <w:rPr>
          <w:rFonts w:ascii="Times New Roman" w:eastAsia="宋体" w:hAnsi="Times New Roman" w:cs="Times New Roman"/>
          <w:b/>
          <w:bCs/>
          <w:sz w:val="20"/>
          <w:szCs w:val="20"/>
          <w:lang w:eastAsia="zh-CN"/>
        </w:rPr>
      </w:pPr>
      <w:r w:rsidRPr="003C0B71">
        <w:rPr>
          <w:rFonts w:ascii="Times New Roman" w:eastAsia="宋体" w:hAnsi="Times New Roman" w:cs="Times New Roman"/>
          <w:b/>
          <w:bCs/>
          <w:sz w:val="20"/>
          <w:szCs w:val="20"/>
          <w:lang w:eastAsia="zh-CN"/>
        </w:rPr>
        <w:t xml:space="preserve">Case </w:t>
      </w:r>
      <w:r w:rsidR="0099122C">
        <w:rPr>
          <w:rFonts w:ascii="Times New Roman" w:eastAsia="宋体" w:hAnsi="Times New Roman" w:cs="Times New Roman"/>
          <w:b/>
          <w:bCs/>
          <w:sz w:val="20"/>
          <w:szCs w:val="20"/>
          <w:lang w:eastAsia="zh-CN"/>
        </w:rPr>
        <w:t>2</w:t>
      </w:r>
      <w:r w:rsidRPr="003C0B71">
        <w:rPr>
          <w:rFonts w:ascii="Times New Roman" w:eastAsia="宋体" w:hAnsi="Times New Roman" w:cs="Times New Roman"/>
          <w:b/>
          <w:bCs/>
          <w:sz w:val="20"/>
          <w:szCs w:val="20"/>
          <w:lang w:eastAsia="zh-CN"/>
        </w:rPr>
        <w:t>: CHO including target MCG, target SCG and candidate SCGs for CPC.</w:t>
      </w:r>
    </w:p>
    <w:p w14:paraId="5A2AC79E" w14:textId="3172BD3A" w:rsidR="00B15E21" w:rsidRPr="00B07BA8" w:rsidRDefault="00B15E21" w:rsidP="00B15E21">
      <w:pPr>
        <w:pStyle w:val="a8"/>
        <w:numPr>
          <w:ilvl w:val="0"/>
          <w:numId w:val="18"/>
        </w:numPr>
        <w:spacing w:line="360" w:lineRule="auto"/>
        <w:ind w:left="357" w:hanging="357"/>
        <w:rPr>
          <w:rFonts w:eastAsia="宋体"/>
          <w:lang w:eastAsia="zh-CN"/>
        </w:rPr>
      </w:pPr>
      <w:r>
        <w:rPr>
          <w:rFonts w:eastAsia="宋体" w:hint="eastAsia"/>
          <w:lang w:eastAsia="zh-CN"/>
        </w:rPr>
        <w:t>I</w:t>
      </w:r>
      <w:r>
        <w:rPr>
          <w:rFonts w:eastAsia="宋体"/>
          <w:lang w:eastAsia="zh-CN"/>
        </w:rPr>
        <w:t xml:space="preserve">n </w:t>
      </w:r>
      <w:r w:rsidR="0099122C">
        <w:rPr>
          <w:rFonts w:eastAsia="宋体"/>
          <w:lang w:eastAsia="zh-CN"/>
        </w:rPr>
        <w:t>case2</w:t>
      </w:r>
      <w:r>
        <w:rPr>
          <w:rFonts w:eastAsia="宋体"/>
          <w:lang w:eastAsia="zh-CN"/>
        </w:rPr>
        <w:t xml:space="preserve">, </w:t>
      </w:r>
      <w:r>
        <w:rPr>
          <w:rFonts w:eastAsiaTheme="minorEastAsia"/>
          <w:bCs/>
          <w:lang w:val="en-US" w:eastAsia="zh-CN"/>
        </w:rPr>
        <w:t xml:space="preserve">CHO configuration includes target MCG, target SCG and the embedded candidate SCG for CPC. Regarding candidate SCG for CPC, the configuration of candidate SCG will be based on the target SCG if delta configuration is used. </w:t>
      </w:r>
      <w:r w:rsidR="0099122C">
        <w:rPr>
          <w:rFonts w:eastAsiaTheme="minorEastAsia"/>
          <w:bCs/>
          <w:lang w:val="en-US" w:eastAsia="zh-CN"/>
        </w:rPr>
        <w:t>According to the legacy, target SCG could be same or different from source SCG.</w:t>
      </w:r>
    </w:p>
    <w:p w14:paraId="3638D409" w14:textId="0E3B4F3A" w:rsidR="00B15E21" w:rsidRDefault="00B15E21" w:rsidP="00B15E21">
      <w:pPr>
        <w:rPr>
          <w:rFonts w:ascii="Times New Roman" w:eastAsia="宋体" w:hAnsi="Times New Roman" w:cs="Times New Roman"/>
          <w:b/>
          <w:bCs/>
          <w:sz w:val="20"/>
          <w:szCs w:val="20"/>
          <w:lang w:eastAsia="zh-CN"/>
        </w:rPr>
      </w:pPr>
      <w:r w:rsidRPr="00B07BA8">
        <w:rPr>
          <w:rFonts w:ascii="Times New Roman" w:eastAsia="宋体" w:hAnsi="Times New Roman" w:cs="Times New Roman"/>
          <w:b/>
          <w:bCs/>
          <w:sz w:val="20"/>
          <w:szCs w:val="20"/>
          <w:lang w:eastAsia="zh-CN"/>
        </w:rPr>
        <w:t xml:space="preserve">Proposal 1: </w:t>
      </w:r>
      <w:r w:rsidR="00E83F3F">
        <w:rPr>
          <w:rFonts w:ascii="Times New Roman" w:eastAsia="宋体" w:hAnsi="Times New Roman" w:cs="Times New Roman"/>
          <w:b/>
          <w:bCs/>
          <w:sz w:val="20"/>
          <w:szCs w:val="20"/>
          <w:lang w:eastAsia="zh-CN"/>
        </w:rPr>
        <w:t>The following two cases should be supported in Rel-18</w:t>
      </w:r>
      <w:r>
        <w:rPr>
          <w:rFonts w:ascii="Times New Roman" w:eastAsia="宋体" w:hAnsi="Times New Roman" w:cs="Times New Roman"/>
          <w:b/>
          <w:bCs/>
          <w:sz w:val="20"/>
          <w:szCs w:val="20"/>
          <w:lang w:eastAsia="zh-CN"/>
        </w:rPr>
        <w:t>.</w:t>
      </w:r>
    </w:p>
    <w:p w14:paraId="3D2B3CBB" w14:textId="77777777" w:rsidR="00B15E21" w:rsidRPr="0005462C" w:rsidRDefault="00B15E21" w:rsidP="00B15E21">
      <w:pPr>
        <w:pStyle w:val="a8"/>
        <w:numPr>
          <w:ilvl w:val="0"/>
          <w:numId w:val="20"/>
        </w:numPr>
        <w:spacing w:line="360" w:lineRule="auto"/>
        <w:ind w:left="357" w:hanging="357"/>
        <w:rPr>
          <w:rFonts w:eastAsia="宋体"/>
          <w:b/>
          <w:bCs/>
          <w:lang w:eastAsia="zh-CN"/>
        </w:rPr>
      </w:pPr>
      <w:r w:rsidRPr="0005462C">
        <w:rPr>
          <w:rFonts w:eastAsia="宋体"/>
          <w:b/>
          <w:bCs/>
          <w:lang w:eastAsia="zh-CN"/>
        </w:rPr>
        <w:t>Case 1: CHO including target MCG and candidate SCGs for CPA.</w:t>
      </w:r>
    </w:p>
    <w:p w14:paraId="3CF783A9" w14:textId="0566CA40" w:rsidR="00B15E21" w:rsidRPr="0005462C" w:rsidRDefault="00B15E21" w:rsidP="00B15E21">
      <w:pPr>
        <w:pStyle w:val="a8"/>
        <w:numPr>
          <w:ilvl w:val="0"/>
          <w:numId w:val="20"/>
        </w:numPr>
        <w:spacing w:line="360" w:lineRule="auto"/>
        <w:ind w:left="357" w:hanging="357"/>
        <w:rPr>
          <w:rFonts w:eastAsia="宋体"/>
          <w:b/>
          <w:bCs/>
          <w:lang w:eastAsia="zh-CN"/>
        </w:rPr>
      </w:pPr>
      <w:r w:rsidRPr="0005462C">
        <w:rPr>
          <w:rFonts w:eastAsia="宋体"/>
          <w:b/>
          <w:bCs/>
          <w:lang w:eastAsia="zh-CN"/>
        </w:rPr>
        <w:t xml:space="preserve">Case </w:t>
      </w:r>
      <w:r w:rsidR="0099122C">
        <w:rPr>
          <w:rFonts w:eastAsia="宋体"/>
          <w:b/>
          <w:bCs/>
          <w:lang w:eastAsia="zh-CN"/>
        </w:rPr>
        <w:t>2</w:t>
      </w:r>
      <w:r w:rsidRPr="0005462C">
        <w:rPr>
          <w:rFonts w:eastAsia="宋体"/>
          <w:b/>
          <w:bCs/>
          <w:lang w:eastAsia="zh-CN"/>
        </w:rPr>
        <w:t>: CHO including target MCG, target SCG and candidate SCGs for CPC.</w:t>
      </w:r>
    </w:p>
    <w:p w14:paraId="7E82AE5A" w14:textId="77777777" w:rsidR="00B15E21" w:rsidRPr="00B07BA8" w:rsidRDefault="00B15E21" w:rsidP="00B15E2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2: The configuration of candidate SCGs for CPA/CPC is embedded in CHO configuration.</w:t>
      </w:r>
    </w:p>
    <w:p w14:paraId="12C4C239" w14:textId="77777777" w:rsidR="00B15E21" w:rsidRPr="00B15E21" w:rsidRDefault="00B15E21" w:rsidP="008E0537">
      <w:pPr>
        <w:spacing w:line="360" w:lineRule="auto"/>
        <w:jc w:val="both"/>
        <w:rPr>
          <w:rFonts w:ascii="Times New Roman" w:eastAsia="宋体" w:hAnsi="Times New Roman" w:cs="Times New Roman"/>
          <w:sz w:val="20"/>
          <w:szCs w:val="20"/>
          <w:lang w:val="en-GB" w:eastAsia="zh-CN"/>
        </w:rPr>
      </w:pPr>
    </w:p>
    <w:p w14:paraId="00E52BC2" w14:textId="6F6DD200" w:rsidR="00445CFB" w:rsidRPr="00445CFB" w:rsidRDefault="00445CFB" w:rsidP="00B15E21">
      <w:pPr>
        <w:spacing w:line="360" w:lineRule="auto"/>
        <w:jc w:val="both"/>
        <w:rPr>
          <w:rFonts w:ascii="Times New Roman" w:eastAsia="宋体" w:hAnsi="Times New Roman" w:cs="Times New Roman"/>
          <w:sz w:val="20"/>
          <w:szCs w:val="20"/>
          <w:lang w:eastAsia="zh-CN"/>
        </w:rPr>
      </w:pPr>
      <w:r w:rsidRPr="00445CFB">
        <w:rPr>
          <w:rFonts w:ascii="Times New Roman" w:eastAsia="宋体" w:hAnsi="Times New Roman" w:cs="Times New Roman" w:hint="eastAsia"/>
          <w:sz w:val="20"/>
          <w:szCs w:val="20"/>
          <w:lang w:eastAsia="zh-CN"/>
        </w:rPr>
        <w:t>I</w:t>
      </w:r>
      <w:r w:rsidRPr="00445CFB">
        <w:rPr>
          <w:rFonts w:ascii="Times New Roman" w:eastAsia="宋体" w:hAnsi="Times New Roman" w:cs="Times New Roman"/>
          <w:sz w:val="20"/>
          <w:szCs w:val="20"/>
          <w:lang w:eastAsia="zh-CN"/>
        </w:rPr>
        <w:t>n Rel-16 CHO</w:t>
      </w:r>
      <w:r w:rsidR="008E0537">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compliance check for an RRCReconfiguration </w:t>
      </w:r>
      <w:r w:rsidR="008E0537">
        <w:rPr>
          <w:rFonts w:ascii="Times New Roman" w:eastAsia="宋体" w:hAnsi="Times New Roman" w:cs="Times New Roman"/>
          <w:sz w:val="20"/>
          <w:szCs w:val="20"/>
          <w:lang w:eastAsia="zh-CN"/>
        </w:rPr>
        <w:t xml:space="preserve">message </w:t>
      </w:r>
      <w:r w:rsidRPr="00445CFB">
        <w:rPr>
          <w:rFonts w:ascii="Times New Roman" w:eastAsia="宋体" w:hAnsi="Times New Roman" w:cs="Times New Roman"/>
          <w:sz w:val="20"/>
          <w:szCs w:val="20"/>
          <w:lang w:eastAsia="zh-CN"/>
        </w:rPr>
        <w:t>received as part of ConditionalReconfiguration is performed upon the reception of the message or upon CHO and CPC execution (when the message is required to be applied).</w:t>
      </w:r>
      <w:r w:rsidR="00B15E21">
        <w:rPr>
          <w:rFonts w:ascii="Times New Roman" w:eastAsia="宋体" w:hAnsi="Times New Roman" w:cs="Times New Roman"/>
          <w:sz w:val="20"/>
          <w:szCs w:val="20"/>
          <w:lang w:eastAsia="zh-CN"/>
        </w:rPr>
        <w:t xml:space="preserve"> </w:t>
      </w:r>
      <w:r w:rsidRPr="00445CFB">
        <w:rPr>
          <w:rFonts w:ascii="Times New Roman" w:eastAsia="宋体" w:hAnsi="Times New Roman" w:cs="Times New Roman"/>
          <w:sz w:val="20"/>
          <w:szCs w:val="20"/>
          <w:lang w:eastAsia="zh-CN"/>
        </w:rPr>
        <w:t>If the UE is unable to comply with (part of) the configuration included in the RRCReconfiguration message for CHO</w:t>
      </w:r>
      <w:r w:rsidR="008E0537">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UE continues </w:t>
      </w:r>
      <w:r w:rsidR="008E0537">
        <w:rPr>
          <w:rFonts w:ascii="Times New Roman" w:eastAsia="宋体" w:hAnsi="Times New Roman" w:cs="Times New Roman"/>
          <w:sz w:val="20"/>
          <w:szCs w:val="20"/>
          <w:lang w:eastAsia="zh-CN"/>
        </w:rPr>
        <w:t xml:space="preserve">to </w:t>
      </w:r>
      <w:r w:rsidRPr="00445CFB">
        <w:rPr>
          <w:rFonts w:ascii="Times New Roman" w:eastAsia="宋体" w:hAnsi="Times New Roman" w:cs="Times New Roman"/>
          <w:sz w:val="20"/>
          <w:szCs w:val="20"/>
          <w:lang w:eastAsia="zh-CN"/>
        </w:rPr>
        <w:t>us</w:t>
      </w:r>
      <w:r w:rsidR="008E0537">
        <w:rPr>
          <w:rFonts w:ascii="Times New Roman" w:eastAsia="宋体" w:hAnsi="Times New Roman" w:cs="Times New Roman"/>
          <w:sz w:val="20"/>
          <w:szCs w:val="20"/>
          <w:lang w:eastAsia="zh-CN"/>
        </w:rPr>
        <w:t>e</w:t>
      </w:r>
      <w:r w:rsidRPr="00445CFB">
        <w:rPr>
          <w:rFonts w:ascii="Times New Roman" w:eastAsia="宋体" w:hAnsi="Times New Roman" w:cs="Times New Roman"/>
          <w:sz w:val="20"/>
          <w:szCs w:val="20"/>
          <w:lang w:eastAsia="zh-CN"/>
        </w:rPr>
        <w:t xml:space="preserve"> the configuration used prior to when the </w:t>
      </w:r>
      <w:r w:rsidRPr="00445CFB">
        <w:rPr>
          <w:rFonts w:ascii="Times New Roman" w:eastAsia="宋体" w:hAnsi="Times New Roman" w:cs="Times New Roman"/>
          <w:sz w:val="20"/>
          <w:szCs w:val="20"/>
          <w:lang w:eastAsia="zh-CN"/>
        </w:rPr>
        <w:lastRenderedPageBreak/>
        <w:t xml:space="preserve">inability to comply with the RRCReconfiguration message was detected. Then, the UE initiates re-establishment procedure or SCG failure information procedure. </w:t>
      </w:r>
    </w:p>
    <w:p w14:paraId="5080E45F" w14:textId="4C089802" w:rsidR="00B07BA8" w:rsidRPr="00B07BA8" w:rsidRDefault="00445CFB" w:rsidP="00B40DD6">
      <w:pPr>
        <w:spacing w:line="360" w:lineRule="auto"/>
        <w:jc w:val="both"/>
        <w:rPr>
          <w:rFonts w:ascii="Times New Roman" w:eastAsia="宋体" w:hAnsi="Times New Roman" w:cs="Times New Roman"/>
          <w:sz w:val="20"/>
          <w:szCs w:val="20"/>
          <w:lang w:eastAsia="zh-CN"/>
        </w:rPr>
      </w:pPr>
      <w:r w:rsidRPr="00106886">
        <w:rPr>
          <w:rFonts w:ascii="Times New Roman" w:eastAsia="宋体" w:hAnsi="Times New Roman" w:cs="Times New Roman"/>
          <w:sz w:val="20"/>
          <w:szCs w:val="20"/>
          <w:lang w:eastAsia="zh-CN"/>
        </w:rPr>
        <w:t xml:space="preserve">In rel-18 mobility, CHO can further embed another </w:t>
      </w:r>
      <w:r w:rsidR="00B15E21" w:rsidRPr="00106886">
        <w:rPr>
          <w:rFonts w:ascii="Times New Roman" w:eastAsia="宋体" w:hAnsi="Times New Roman" w:cs="Times New Roman"/>
          <w:sz w:val="20"/>
          <w:szCs w:val="20"/>
          <w:lang w:eastAsia="zh-CN"/>
        </w:rPr>
        <w:t xml:space="preserve">candidate SCG for </w:t>
      </w:r>
      <w:r w:rsidRPr="00106886">
        <w:rPr>
          <w:rFonts w:ascii="Times New Roman" w:eastAsia="宋体" w:hAnsi="Times New Roman" w:cs="Times New Roman"/>
          <w:sz w:val="20"/>
          <w:szCs w:val="20"/>
          <w:lang w:eastAsia="zh-CN"/>
        </w:rPr>
        <w:t xml:space="preserve">CPA/CPC. </w:t>
      </w:r>
      <w:r w:rsidR="00B40DD6" w:rsidRPr="00106886">
        <w:rPr>
          <w:rFonts w:ascii="Times New Roman" w:eastAsia="宋体" w:hAnsi="Times New Roman" w:cs="Times New Roman" w:hint="eastAsia"/>
          <w:sz w:val="20"/>
          <w:szCs w:val="20"/>
          <w:lang w:eastAsia="zh-CN"/>
        </w:rPr>
        <w:t>F</w:t>
      </w:r>
      <w:r w:rsidR="00B40DD6" w:rsidRPr="00106886">
        <w:rPr>
          <w:rFonts w:ascii="Times New Roman" w:eastAsia="宋体" w:hAnsi="Times New Roman" w:cs="Times New Roman"/>
          <w:sz w:val="20"/>
          <w:szCs w:val="20"/>
          <w:lang w:eastAsia="zh-CN"/>
        </w:rPr>
        <w:t xml:space="preserve">or the above three cases, according to the legacy, the compliance check for the embedded CPA can be performed upon the reception of the message or upon CHO execution (when the CHO message is required to be applied). The failure behavior defined also applies in case the UE cannot comply with the embedded SCG configuration for CPA/CPC. But UE will perform reestablishment procedure even the compliance check for CHO configuration is successful and the failure only happens on the embedded CPA/CPC. </w:t>
      </w:r>
      <w:r w:rsidRPr="00106886">
        <w:rPr>
          <w:rFonts w:ascii="Times New Roman" w:eastAsia="宋体" w:hAnsi="Times New Roman" w:cs="Times New Roman"/>
          <w:sz w:val="20"/>
          <w:szCs w:val="20"/>
          <w:lang w:eastAsia="zh-CN"/>
        </w:rPr>
        <w:t>However, it seems unnecessary to perform reestablishment procedure or SCG failure information if the compliance check on CHO is successful</w:t>
      </w:r>
      <w:r w:rsidR="008E0537" w:rsidRPr="00106886">
        <w:rPr>
          <w:rFonts w:ascii="Times New Roman" w:eastAsia="宋体" w:hAnsi="Times New Roman" w:cs="Times New Roman"/>
          <w:sz w:val="20"/>
          <w:szCs w:val="20"/>
          <w:lang w:eastAsia="zh-CN"/>
        </w:rPr>
        <w:t xml:space="preserve"> but only the compliance check of the embedded CPA/CPC fails</w:t>
      </w:r>
      <w:r w:rsidRPr="00106886">
        <w:rPr>
          <w:rFonts w:ascii="Times New Roman" w:eastAsia="宋体" w:hAnsi="Times New Roman" w:cs="Times New Roman"/>
          <w:sz w:val="20"/>
          <w:szCs w:val="20"/>
          <w:lang w:eastAsia="zh-CN"/>
        </w:rPr>
        <w:t>.</w:t>
      </w:r>
    </w:p>
    <w:p w14:paraId="15AE80C4" w14:textId="69A1BBEC" w:rsidR="004232DF" w:rsidRPr="0005462C" w:rsidRDefault="004232DF" w:rsidP="0005462C">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sidR="00B07BA8">
        <w:rPr>
          <w:rFonts w:ascii="Times New Roman" w:eastAsia="宋体" w:hAnsi="Times New Roman" w:cs="Times New Roman"/>
          <w:b/>
          <w:bCs/>
          <w:sz w:val="20"/>
          <w:szCs w:val="20"/>
          <w:lang w:eastAsia="zh-CN"/>
        </w:rPr>
        <w:t xml:space="preserve"> 3</w:t>
      </w:r>
      <w:r w:rsidRPr="0005462C">
        <w:rPr>
          <w:rFonts w:ascii="Times New Roman" w:eastAsia="宋体" w:hAnsi="Times New Roman" w:cs="Times New Roman"/>
          <w:b/>
          <w:bCs/>
          <w:sz w:val="20"/>
          <w:szCs w:val="20"/>
          <w:lang w:eastAsia="zh-CN"/>
        </w:rPr>
        <w:t xml:space="preserve">: </w:t>
      </w:r>
      <w:r w:rsidR="00B07BA8">
        <w:rPr>
          <w:rFonts w:ascii="Times New Roman" w:eastAsia="宋体" w:hAnsi="Times New Roman" w:cs="Times New Roman"/>
          <w:b/>
          <w:bCs/>
          <w:sz w:val="20"/>
          <w:szCs w:val="20"/>
          <w:lang w:eastAsia="zh-CN"/>
        </w:rPr>
        <w:t xml:space="preserve">UE considers </w:t>
      </w:r>
      <w:r w:rsidR="00B07BA8" w:rsidRPr="00B07BA8">
        <w:rPr>
          <w:rFonts w:ascii="Times New Roman" w:eastAsia="宋体" w:hAnsi="Times New Roman" w:cs="Times New Roman"/>
          <w:b/>
          <w:bCs/>
          <w:sz w:val="20"/>
          <w:szCs w:val="20"/>
          <w:lang w:eastAsia="zh-CN"/>
        </w:rPr>
        <w:t>the compliance check successful if the compliance check for CHO configuration is successful and the failure only happens on the embedded CPA/CPC</w:t>
      </w:r>
      <w:r w:rsidRPr="0005462C">
        <w:rPr>
          <w:rFonts w:ascii="Times New Roman" w:eastAsia="宋体" w:hAnsi="Times New Roman" w:cs="Times New Roman"/>
          <w:b/>
          <w:bCs/>
          <w:sz w:val="20"/>
          <w:szCs w:val="20"/>
          <w:lang w:eastAsia="zh-CN"/>
        </w:rPr>
        <w:t>.</w:t>
      </w:r>
    </w:p>
    <w:p w14:paraId="6CEA042B" w14:textId="7FCD94EB" w:rsidR="004232DF" w:rsidRPr="001F1D78" w:rsidRDefault="001F1D78" w:rsidP="001F1D78">
      <w:pPr>
        <w:spacing w:line="360" w:lineRule="auto"/>
        <w:rPr>
          <w:rFonts w:ascii="Times New Roman" w:eastAsia="宋体" w:hAnsi="Times New Roman" w:cs="Times New Roman"/>
          <w:sz w:val="20"/>
          <w:szCs w:val="20"/>
          <w:lang w:eastAsia="zh-CN"/>
        </w:rPr>
      </w:pPr>
      <w:r w:rsidRPr="001F1D78">
        <w:rPr>
          <w:rFonts w:ascii="Times New Roman" w:eastAsia="宋体" w:hAnsi="Times New Roman" w:cs="Times New Roman" w:hint="eastAsia"/>
          <w:sz w:val="20"/>
          <w:szCs w:val="20"/>
          <w:lang w:eastAsia="zh-CN"/>
        </w:rPr>
        <w:t>I</w:t>
      </w:r>
      <w:r w:rsidRPr="001F1D78">
        <w:rPr>
          <w:rFonts w:ascii="Times New Roman" w:eastAsia="宋体" w:hAnsi="Times New Roman" w:cs="Times New Roman"/>
          <w:sz w:val="20"/>
          <w:szCs w:val="20"/>
          <w:lang w:eastAsia="zh-CN"/>
        </w:rPr>
        <w:t xml:space="preserve">n the case of CHO including target MCG and the encapsulated CPA/CPA, the candidate SCG for CPA/CPC is only performed after CHO is executed and the condition for CPA/CPC is met. </w:t>
      </w:r>
      <w:r>
        <w:rPr>
          <w:rFonts w:ascii="Times New Roman" w:eastAsia="宋体" w:hAnsi="Times New Roman" w:cs="Times New Roman"/>
          <w:sz w:val="20"/>
          <w:szCs w:val="20"/>
          <w:lang w:eastAsia="zh-CN"/>
        </w:rPr>
        <w:t xml:space="preserve">Therefore, it seems unnecessary for UE to perform the condition evaluation for the embedded CPA/CPC upon the reception of CHO including </w:t>
      </w:r>
      <w:r w:rsidRPr="001F1D78">
        <w:rPr>
          <w:rFonts w:ascii="Times New Roman" w:eastAsia="宋体" w:hAnsi="Times New Roman" w:cs="Times New Roman"/>
          <w:sz w:val="20"/>
          <w:szCs w:val="20"/>
          <w:lang w:eastAsia="zh-CN"/>
        </w:rPr>
        <w:t>target MCG and the encapsulated CPA/CPA</w:t>
      </w:r>
      <w:r>
        <w:rPr>
          <w:rFonts w:ascii="Times New Roman" w:eastAsia="宋体" w:hAnsi="Times New Roman" w:cs="Times New Roman"/>
          <w:sz w:val="20"/>
          <w:szCs w:val="20"/>
          <w:lang w:eastAsia="zh-CN"/>
        </w:rPr>
        <w:t>. It is natural that UE evaluates the conditions for the embedded CPA/CPC after UE successfully executes CHO.</w:t>
      </w:r>
    </w:p>
    <w:p w14:paraId="14DC8DA2" w14:textId="3458BCB9" w:rsidR="004232DF" w:rsidRPr="007C2E12" w:rsidRDefault="004232DF" w:rsidP="007C2E12">
      <w:pPr>
        <w:rPr>
          <w:rFonts w:ascii="Times New Roman" w:eastAsia="宋体" w:hAnsi="Times New Roman" w:cs="Times New Roman"/>
          <w:b/>
          <w:bCs/>
          <w:sz w:val="20"/>
          <w:szCs w:val="20"/>
          <w:lang w:eastAsia="zh-CN"/>
        </w:rPr>
      </w:pPr>
      <w:r w:rsidRPr="007C2E12">
        <w:rPr>
          <w:rFonts w:ascii="Times New Roman" w:eastAsia="宋体" w:hAnsi="Times New Roman" w:cs="Times New Roman" w:hint="eastAsia"/>
          <w:b/>
          <w:bCs/>
          <w:sz w:val="20"/>
          <w:szCs w:val="20"/>
          <w:lang w:eastAsia="zh-CN"/>
        </w:rPr>
        <w:t>P</w:t>
      </w:r>
      <w:r w:rsidRPr="007C2E12">
        <w:rPr>
          <w:rFonts w:ascii="Times New Roman" w:eastAsia="宋体" w:hAnsi="Times New Roman" w:cs="Times New Roman"/>
          <w:b/>
          <w:bCs/>
          <w:sz w:val="20"/>
          <w:szCs w:val="20"/>
          <w:lang w:eastAsia="zh-CN"/>
        </w:rPr>
        <w:t>roposal</w:t>
      </w:r>
      <w:r w:rsidR="00474341">
        <w:rPr>
          <w:rFonts w:ascii="Times New Roman" w:eastAsia="宋体" w:hAnsi="Times New Roman" w:cs="Times New Roman"/>
          <w:b/>
          <w:bCs/>
          <w:sz w:val="20"/>
          <w:szCs w:val="20"/>
          <w:lang w:eastAsia="zh-CN"/>
        </w:rPr>
        <w:t xml:space="preserve"> 4</w:t>
      </w:r>
      <w:r w:rsidRPr="007C2E12">
        <w:rPr>
          <w:rFonts w:ascii="Times New Roman" w:eastAsia="宋体" w:hAnsi="Times New Roman" w:cs="Times New Roman"/>
          <w:b/>
          <w:bCs/>
          <w:sz w:val="20"/>
          <w:szCs w:val="20"/>
          <w:lang w:eastAsia="zh-CN"/>
        </w:rPr>
        <w:t xml:space="preserve">: </w:t>
      </w:r>
      <w:r w:rsidR="001F1D78" w:rsidRPr="001F1D78">
        <w:rPr>
          <w:rFonts w:ascii="Times New Roman" w:eastAsia="宋体" w:hAnsi="Times New Roman" w:cs="Times New Roman" w:hint="eastAsia"/>
          <w:b/>
          <w:bCs/>
          <w:sz w:val="20"/>
          <w:szCs w:val="20"/>
          <w:lang w:eastAsia="zh-CN"/>
        </w:rPr>
        <w:t>I</w:t>
      </w:r>
      <w:r w:rsidR="001F1D78" w:rsidRPr="001F1D78">
        <w:rPr>
          <w:rFonts w:ascii="Times New Roman" w:eastAsia="宋体" w:hAnsi="Times New Roman" w:cs="Times New Roman"/>
          <w:b/>
          <w:bCs/>
          <w:sz w:val="20"/>
          <w:szCs w:val="20"/>
          <w:lang w:eastAsia="zh-CN"/>
        </w:rPr>
        <w:t>n the case of CHO including target MCG and candidate SCGs for CPA/CPA</w:t>
      </w:r>
      <w:r w:rsidR="001F1D78">
        <w:rPr>
          <w:rFonts w:ascii="Times New Roman" w:eastAsia="宋体" w:hAnsi="Times New Roman" w:cs="Times New Roman"/>
          <w:b/>
          <w:bCs/>
          <w:sz w:val="20"/>
          <w:szCs w:val="20"/>
          <w:lang w:eastAsia="zh-CN"/>
        </w:rPr>
        <w:t xml:space="preserve">, UE </w:t>
      </w:r>
      <w:r w:rsidR="001F1D78" w:rsidRPr="001F1D78">
        <w:rPr>
          <w:rFonts w:ascii="Times New Roman" w:eastAsia="宋体" w:hAnsi="Times New Roman" w:cs="Times New Roman"/>
          <w:b/>
          <w:bCs/>
          <w:sz w:val="20"/>
          <w:szCs w:val="20"/>
          <w:lang w:eastAsia="zh-CN"/>
        </w:rPr>
        <w:t>evaluates the conditions for candidate SCGs for CPA/CPA after UE successfully executes CHO.</w:t>
      </w:r>
      <w:r w:rsidR="001F1D78">
        <w:rPr>
          <w:rFonts w:ascii="Times New Roman" w:eastAsia="宋体" w:hAnsi="Times New Roman" w:cs="Times New Roman"/>
          <w:b/>
          <w:bCs/>
          <w:sz w:val="20"/>
          <w:szCs w:val="20"/>
          <w:lang w:eastAsia="zh-CN"/>
        </w:rPr>
        <w:t xml:space="preserve"> </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050500F8" w14:textId="77777777" w:rsidR="00E83F3F" w:rsidRDefault="00E83F3F" w:rsidP="00E83F3F">
      <w:pPr>
        <w:rPr>
          <w:rFonts w:ascii="Times New Roman" w:eastAsia="宋体" w:hAnsi="Times New Roman" w:cs="Times New Roman"/>
          <w:b/>
          <w:bCs/>
          <w:sz w:val="20"/>
          <w:szCs w:val="20"/>
          <w:lang w:eastAsia="zh-CN"/>
        </w:rPr>
      </w:pPr>
      <w:r w:rsidRPr="00B07BA8">
        <w:rPr>
          <w:rFonts w:ascii="Times New Roman" w:eastAsia="宋体" w:hAnsi="Times New Roman" w:cs="Times New Roman"/>
          <w:b/>
          <w:bCs/>
          <w:sz w:val="20"/>
          <w:szCs w:val="20"/>
          <w:lang w:eastAsia="zh-CN"/>
        </w:rPr>
        <w:t xml:space="preserve">Proposal 1: </w:t>
      </w:r>
      <w:r>
        <w:rPr>
          <w:rFonts w:ascii="Times New Roman" w:eastAsia="宋体" w:hAnsi="Times New Roman" w:cs="Times New Roman"/>
          <w:b/>
          <w:bCs/>
          <w:sz w:val="20"/>
          <w:szCs w:val="20"/>
          <w:lang w:eastAsia="zh-CN"/>
        </w:rPr>
        <w:t>The following two cases should be supported in Rel-18.</w:t>
      </w:r>
    </w:p>
    <w:p w14:paraId="2C02E597" w14:textId="77777777" w:rsidR="00E83F3F" w:rsidRPr="0005462C" w:rsidRDefault="00E83F3F" w:rsidP="00E83F3F">
      <w:pPr>
        <w:pStyle w:val="a8"/>
        <w:numPr>
          <w:ilvl w:val="0"/>
          <w:numId w:val="20"/>
        </w:numPr>
        <w:spacing w:line="360" w:lineRule="auto"/>
        <w:ind w:left="357" w:hanging="357"/>
        <w:rPr>
          <w:rFonts w:eastAsia="宋体"/>
          <w:b/>
          <w:bCs/>
          <w:lang w:eastAsia="zh-CN"/>
        </w:rPr>
      </w:pPr>
      <w:r w:rsidRPr="0005462C">
        <w:rPr>
          <w:rFonts w:eastAsia="宋体"/>
          <w:b/>
          <w:bCs/>
          <w:lang w:eastAsia="zh-CN"/>
        </w:rPr>
        <w:t>Case 1: CHO including target MCG and candidate SCGs for CPA.</w:t>
      </w:r>
    </w:p>
    <w:p w14:paraId="062E8DE0" w14:textId="77777777" w:rsidR="00E83F3F" w:rsidRPr="0005462C" w:rsidRDefault="00E83F3F" w:rsidP="00E83F3F">
      <w:pPr>
        <w:pStyle w:val="a8"/>
        <w:numPr>
          <w:ilvl w:val="0"/>
          <w:numId w:val="20"/>
        </w:numPr>
        <w:spacing w:line="360" w:lineRule="auto"/>
        <w:ind w:left="357" w:hanging="357"/>
        <w:rPr>
          <w:rFonts w:eastAsia="宋体"/>
          <w:b/>
          <w:bCs/>
          <w:lang w:eastAsia="zh-CN"/>
        </w:rPr>
      </w:pPr>
      <w:r w:rsidRPr="0005462C">
        <w:rPr>
          <w:rFonts w:eastAsia="宋体"/>
          <w:b/>
          <w:bCs/>
          <w:lang w:eastAsia="zh-CN"/>
        </w:rPr>
        <w:t xml:space="preserve">Case </w:t>
      </w:r>
      <w:r>
        <w:rPr>
          <w:rFonts w:eastAsia="宋体"/>
          <w:b/>
          <w:bCs/>
          <w:lang w:eastAsia="zh-CN"/>
        </w:rPr>
        <w:t>2</w:t>
      </w:r>
      <w:r w:rsidRPr="0005462C">
        <w:rPr>
          <w:rFonts w:eastAsia="宋体"/>
          <w:b/>
          <w:bCs/>
          <w:lang w:eastAsia="zh-CN"/>
        </w:rPr>
        <w:t>: CHO including target MCG, target SCG and candidate SCGs for CPC.</w:t>
      </w:r>
    </w:p>
    <w:p w14:paraId="2319EC45" w14:textId="77777777" w:rsidR="00317DE1" w:rsidRPr="00B07BA8" w:rsidRDefault="00317DE1" w:rsidP="00317DE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2: The configuration of candidate SCGs for CPA/CPC is embedded in CHO configuration.</w:t>
      </w:r>
    </w:p>
    <w:p w14:paraId="284169C0" w14:textId="77777777" w:rsidR="00317DE1" w:rsidRPr="0005462C" w:rsidRDefault="00317DE1" w:rsidP="00317DE1">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Pr>
          <w:rFonts w:ascii="Times New Roman" w:eastAsia="宋体" w:hAnsi="Times New Roman" w:cs="Times New Roman"/>
          <w:b/>
          <w:bCs/>
          <w:sz w:val="20"/>
          <w:szCs w:val="20"/>
          <w:lang w:eastAsia="zh-CN"/>
        </w:rPr>
        <w:t xml:space="preserve"> 3</w:t>
      </w:r>
      <w:r w:rsidRPr="0005462C">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UE considers </w:t>
      </w:r>
      <w:r w:rsidRPr="00B07BA8">
        <w:rPr>
          <w:rFonts w:ascii="Times New Roman" w:eastAsia="宋体" w:hAnsi="Times New Roman" w:cs="Times New Roman"/>
          <w:b/>
          <w:bCs/>
          <w:sz w:val="20"/>
          <w:szCs w:val="20"/>
          <w:lang w:eastAsia="zh-CN"/>
        </w:rPr>
        <w:t>the compliance check successful if the compliance check for CHO configuration is successful and the failure only happens on the embedded CPA/CPC</w:t>
      </w:r>
      <w:r w:rsidRPr="0005462C">
        <w:rPr>
          <w:rFonts w:ascii="Times New Roman" w:eastAsia="宋体" w:hAnsi="Times New Roman" w:cs="Times New Roman"/>
          <w:b/>
          <w:bCs/>
          <w:sz w:val="20"/>
          <w:szCs w:val="20"/>
          <w:lang w:eastAsia="zh-CN"/>
        </w:rPr>
        <w:t>.</w:t>
      </w:r>
    </w:p>
    <w:p w14:paraId="625276D2" w14:textId="77777777" w:rsidR="00317DE1" w:rsidRPr="007C2E12" w:rsidRDefault="00317DE1" w:rsidP="00317DE1">
      <w:pPr>
        <w:rPr>
          <w:rFonts w:ascii="Times New Roman" w:eastAsia="宋体" w:hAnsi="Times New Roman" w:cs="Times New Roman"/>
          <w:b/>
          <w:bCs/>
          <w:sz w:val="20"/>
          <w:szCs w:val="20"/>
          <w:lang w:eastAsia="zh-CN"/>
        </w:rPr>
      </w:pPr>
      <w:r w:rsidRPr="007C2E12">
        <w:rPr>
          <w:rFonts w:ascii="Times New Roman" w:eastAsia="宋体" w:hAnsi="Times New Roman" w:cs="Times New Roman" w:hint="eastAsia"/>
          <w:b/>
          <w:bCs/>
          <w:sz w:val="20"/>
          <w:szCs w:val="20"/>
          <w:lang w:eastAsia="zh-CN"/>
        </w:rPr>
        <w:t>P</w:t>
      </w:r>
      <w:r w:rsidRPr="007C2E12">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4</w:t>
      </w:r>
      <w:r w:rsidRPr="007C2E12">
        <w:rPr>
          <w:rFonts w:ascii="Times New Roman" w:eastAsia="宋体" w:hAnsi="Times New Roman" w:cs="Times New Roman"/>
          <w:b/>
          <w:bCs/>
          <w:sz w:val="20"/>
          <w:szCs w:val="20"/>
          <w:lang w:eastAsia="zh-CN"/>
        </w:rPr>
        <w:t xml:space="preserve">: </w:t>
      </w:r>
      <w:r w:rsidRPr="001F1D78">
        <w:rPr>
          <w:rFonts w:ascii="Times New Roman" w:eastAsia="宋体" w:hAnsi="Times New Roman" w:cs="Times New Roman" w:hint="eastAsia"/>
          <w:b/>
          <w:bCs/>
          <w:sz w:val="20"/>
          <w:szCs w:val="20"/>
          <w:lang w:eastAsia="zh-CN"/>
        </w:rPr>
        <w:t>I</w:t>
      </w:r>
      <w:r w:rsidRPr="001F1D78">
        <w:rPr>
          <w:rFonts w:ascii="Times New Roman" w:eastAsia="宋体" w:hAnsi="Times New Roman" w:cs="Times New Roman"/>
          <w:b/>
          <w:bCs/>
          <w:sz w:val="20"/>
          <w:szCs w:val="20"/>
          <w:lang w:eastAsia="zh-CN"/>
        </w:rPr>
        <w:t>n the case of CHO including target MCG and candidate SCGs for CPA/CPA</w:t>
      </w:r>
      <w:r>
        <w:rPr>
          <w:rFonts w:ascii="Times New Roman" w:eastAsia="宋体" w:hAnsi="Times New Roman" w:cs="Times New Roman"/>
          <w:b/>
          <w:bCs/>
          <w:sz w:val="20"/>
          <w:szCs w:val="20"/>
          <w:lang w:eastAsia="zh-CN"/>
        </w:rPr>
        <w:t xml:space="preserve">, UE </w:t>
      </w:r>
      <w:r w:rsidRPr="001F1D78">
        <w:rPr>
          <w:rFonts w:ascii="Times New Roman" w:eastAsia="宋体" w:hAnsi="Times New Roman" w:cs="Times New Roman"/>
          <w:b/>
          <w:bCs/>
          <w:sz w:val="20"/>
          <w:szCs w:val="20"/>
          <w:lang w:eastAsia="zh-CN"/>
        </w:rPr>
        <w:t>evaluates the conditions for candidate SCGs for CPA/CPA after UE successfully executes CHO.</w:t>
      </w:r>
      <w:r>
        <w:rPr>
          <w:rFonts w:ascii="Times New Roman" w:eastAsia="宋体" w:hAnsi="Times New Roman" w:cs="Times New Roman"/>
          <w:b/>
          <w:bCs/>
          <w:sz w:val="20"/>
          <w:szCs w:val="20"/>
          <w:lang w:eastAsia="zh-CN"/>
        </w:rPr>
        <w:t xml:space="preserve"> </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72A14E26" w:rsidR="00035774" w:rsidRPr="00951DC7" w:rsidRDefault="00951DC7" w:rsidP="00951DC7">
      <w:pPr>
        <w:pStyle w:val="References"/>
      </w:pPr>
      <w:r w:rsidRPr="00951DC7">
        <w:t>RP-221799 was RP-221558 R18 MobEnh WID</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0A92" w14:textId="77777777" w:rsidR="0072584A" w:rsidRDefault="0072584A" w:rsidP="00FC6453">
      <w:pPr>
        <w:spacing w:after="0" w:line="240" w:lineRule="auto"/>
      </w:pPr>
      <w:r>
        <w:separator/>
      </w:r>
    </w:p>
  </w:endnote>
  <w:endnote w:type="continuationSeparator" w:id="0">
    <w:p w14:paraId="0704A586" w14:textId="77777777" w:rsidR="0072584A" w:rsidRDefault="0072584A"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ECE87" w14:textId="77777777" w:rsidR="0072584A" w:rsidRDefault="0072584A" w:rsidP="00FC6453">
      <w:pPr>
        <w:spacing w:after="0" w:line="240" w:lineRule="auto"/>
      </w:pPr>
      <w:r>
        <w:separator/>
      </w:r>
    </w:p>
  </w:footnote>
  <w:footnote w:type="continuationSeparator" w:id="0">
    <w:p w14:paraId="2D7F97E9" w14:textId="77777777" w:rsidR="0072584A" w:rsidRDefault="0072584A"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7"/>
  </w:num>
  <w:num w:numId="3">
    <w:abstractNumId w:val="12"/>
  </w:num>
  <w:num w:numId="4">
    <w:abstractNumId w:val="2"/>
  </w:num>
  <w:num w:numId="5">
    <w:abstractNumId w:val="14"/>
  </w:num>
  <w:num w:numId="6">
    <w:abstractNumId w:val="0"/>
  </w:num>
  <w:num w:numId="7">
    <w:abstractNumId w:val="2"/>
  </w:num>
  <w:num w:numId="8">
    <w:abstractNumId w:val="12"/>
  </w:num>
  <w:num w:numId="9">
    <w:abstractNumId w:val="5"/>
  </w:num>
  <w:num w:numId="10">
    <w:abstractNumId w:val="9"/>
  </w:num>
  <w:num w:numId="11">
    <w:abstractNumId w:val="7"/>
  </w:num>
  <w:num w:numId="12">
    <w:abstractNumId w:val="4"/>
  </w:num>
  <w:num w:numId="13">
    <w:abstractNumId w:val="10"/>
  </w:num>
  <w:num w:numId="14">
    <w:abstractNumId w:val="6"/>
  </w:num>
  <w:num w:numId="15">
    <w:abstractNumId w:val="6"/>
  </w:num>
  <w:num w:numId="16">
    <w:abstractNumId w:val="13"/>
  </w:num>
  <w:num w:numId="17">
    <w:abstractNumId w:val="11"/>
  </w:num>
  <w:num w:numId="18">
    <w:abstractNumId w:val="8"/>
  </w:num>
  <w:num w:numId="19">
    <w:abstractNumId w:val="15"/>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06BB"/>
    <w:rsid w:val="000338BB"/>
    <w:rsid w:val="00035774"/>
    <w:rsid w:val="00052297"/>
    <w:rsid w:val="0005462C"/>
    <w:rsid w:val="000601F6"/>
    <w:rsid w:val="0006170C"/>
    <w:rsid w:val="00072F36"/>
    <w:rsid w:val="00082C7A"/>
    <w:rsid w:val="000A165E"/>
    <w:rsid w:val="000A4C8B"/>
    <w:rsid w:val="000A6F76"/>
    <w:rsid w:val="000B5090"/>
    <w:rsid w:val="000C124B"/>
    <w:rsid w:val="000D0246"/>
    <w:rsid w:val="000E38D0"/>
    <w:rsid w:val="00104D48"/>
    <w:rsid w:val="00106886"/>
    <w:rsid w:val="0011313A"/>
    <w:rsid w:val="00113BC6"/>
    <w:rsid w:val="001243B1"/>
    <w:rsid w:val="00124CEF"/>
    <w:rsid w:val="00133BAB"/>
    <w:rsid w:val="00135446"/>
    <w:rsid w:val="00155AAA"/>
    <w:rsid w:val="00160140"/>
    <w:rsid w:val="001611F1"/>
    <w:rsid w:val="0017228D"/>
    <w:rsid w:val="00172899"/>
    <w:rsid w:val="00174555"/>
    <w:rsid w:val="00180B0E"/>
    <w:rsid w:val="00182CD2"/>
    <w:rsid w:val="001A3916"/>
    <w:rsid w:val="001A547E"/>
    <w:rsid w:val="001A6BB3"/>
    <w:rsid w:val="001B3499"/>
    <w:rsid w:val="001C7BF0"/>
    <w:rsid w:val="001C7CC0"/>
    <w:rsid w:val="001D0BD9"/>
    <w:rsid w:val="001D584A"/>
    <w:rsid w:val="001F1A9F"/>
    <w:rsid w:val="001F1D78"/>
    <w:rsid w:val="001F657F"/>
    <w:rsid w:val="002014B3"/>
    <w:rsid w:val="00206630"/>
    <w:rsid w:val="00211570"/>
    <w:rsid w:val="0021733E"/>
    <w:rsid w:val="00221509"/>
    <w:rsid w:val="00224828"/>
    <w:rsid w:val="002268C7"/>
    <w:rsid w:val="002325AD"/>
    <w:rsid w:val="00233B00"/>
    <w:rsid w:val="0023735A"/>
    <w:rsid w:val="00241D01"/>
    <w:rsid w:val="00247E40"/>
    <w:rsid w:val="00251244"/>
    <w:rsid w:val="0027067B"/>
    <w:rsid w:val="00276A24"/>
    <w:rsid w:val="002A55D9"/>
    <w:rsid w:val="002C3D2D"/>
    <w:rsid w:val="002D1DF2"/>
    <w:rsid w:val="002E5577"/>
    <w:rsid w:val="002F5A69"/>
    <w:rsid w:val="003145C8"/>
    <w:rsid w:val="00317DE1"/>
    <w:rsid w:val="00324F3B"/>
    <w:rsid w:val="00346AB2"/>
    <w:rsid w:val="00361B8B"/>
    <w:rsid w:val="0036229A"/>
    <w:rsid w:val="00393691"/>
    <w:rsid w:val="003A422B"/>
    <w:rsid w:val="003A6C51"/>
    <w:rsid w:val="003B614B"/>
    <w:rsid w:val="003C0B71"/>
    <w:rsid w:val="003D2B38"/>
    <w:rsid w:val="003E0030"/>
    <w:rsid w:val="003E1925"/>
    <w:rsid w:val="003E3C25"/>
    <w:rsid w:val="003F1FB2"/>
    <w:rsid w:val="00410779"/>
    <w:rsid w:val="00412CD0"/>
    <w:rsid w:val="004232DF"/>
    <w:rsid w:val="004412D3"/>
    <w:rsid w:val="00443173"/>
    <w:rsid w:val="00445CFB"/>
    <w:rsid w:val="00452B28"/>
    <w:rsid w:val="00452D98"/>
    <w:rsid w:val="00465354"/>
    <w:rsid w:val="004709D4"/>
    <w:rsid w:val="00473823"/>
    <w:rsid w:val="00474341"/>
    <w:rsid w:val="00497DF4"/>
    <w:rsid w:val="004A72C1"/>
    <w:rsid w:val="004B458E"/>
    <w:rsid w:val="004C2669"/>
    <w:rsid w:val="004C532C"/>
    <w:rsid w:val="004D1BB9"/>
    <w:rsid w:val="004D21B9"/>
    <w:rsid w:val="004D346B"/>
    <w:rsid w:val="004D45C8"/>
    <w:rsid w:val="004E2DF0"/>
    <w:rsid w:val="004E41EE"/>
    <w:rsid w:val="00506CEF"/>
    <w:rsid w:val="00507030"/>
    <w:rsid w:val="0051762B"/>
    <w:rsid w:val="00520FB7"/>
    <w:rsid w:val="00540952"/>
    <w:rsid w:val="005409CE"/>
    <w:rsid w:val="00540E31"/>
    <w:rsid w:val="005417A6"/>
    <w:rsid w:val="0057200D"/>
    <w:rsid w:val="00597F24"/>
    <w:rsid w:val="005B22B1"/>
    <w:rsid w:val="005B7C0E"/>
    <w:rsid w:val="005E003D"/>
    <w:rsid w:val="005E2C6A"/>
    <w:rsid w:val="005E4015"/>
    <w:rsid w:val="005F51BD"/>
    <w:rsid w:val="00607A1C"/>
    <w:rsid w:val="0061405D"/>
    <w:rsid w:val="00630420"/>
    <w:rsid w:val="00647426"/>
    <w:rsid w:val="00654BEE"/>
    <w:rsid w:val="0065544D"/>
    <w:rsid w:val="00665C1E"/>
    <w:rsid w:val="00666848"/>
    <w:rsid w:val="006713EE"/>
    <w:rsid w:val="00671B79"/>
    <w:rsid w:val="00685E9E"/>
    <w:rsid w:val="00687224"/>
    <w:rsid w:val="0069202C"/>
    <w:rsid w:val="006D379B"/>
    <w:rsid w:val="006F5EEC"/>
    <w:rsid w:val="00700BC8"/>
    <w:rsid w:val="00700C64"/>
    <w:rsid w:val="007022BC"/>
    <w:rsid w:val="00706F5E"/>
    <w:rsid w:val="00710217"/>
    <w:rsid w:val="007123BA"/>
    <w:rsid w:val="0072584A"/>
    <w:rsid w:val="00730096"/>
    <w:rsid w:val="007402ED"/>
    <w:rsid w:val="0074618D"/>
    <w:rsid w:val="00746B52"/>
    <w:rsid w:val="00750FCF"/>
    <w:rsid w:val="007549E8"/>
    <w:rsid w:val="00771B6C"/>
    <w:rsid w:val="00784908"/>
    <w:rsid w:val="007873E2"/>
    <w:rsid w:val="00794482"/>
    <w:rsid w:val="007B326C"/>
    <w:rsid w:val="007C2E12"/>
    <w:rsid w:val="007C6053"/>
    <w:rsid w:val="007D184E"/>
    <w:rsid w:val="007E1BFB"/>
    <w:rsid w:val="007E384C"/>
    <w:rsid w:val="007F0388"/>
    <w:rsid w:val="007F6CA4"/>
    <w:rsid w:val="0082133D"/>
    <w:rsid w:val="00850A43"/>
    <w:rsid w:val="00854030"/>
    <w:rsid w:val="00864147"/>
    <w:rsid w:val="008666B6"/>
    <w:rsid w:val="00875528"/>
    <w:rsid w:val="00897D5B"/>
    <w:rsid w:val="008A1EEB"/>
    <w:rsid w:val="008B665C"/>
    <w:rsid w:val="008C7136"/>
    <w:rsid w:val="008E0537"/>
    <w:rsid w:val="008E30B0"/>
    <w:rsid w:val="008F1DD5"/>
    <w:rsid w:val="008F45D3"/>
    <w:rsid w:val="008F7226"/>
    <w:rsid w:val="00934F0E"/>
    <w:rsid w:val="00942490"/>
    <w:rsid w:val="009458EE"/>
    <w:rsid w:val="00951DC7"/>
    <w:rsid w:val="00960B44"/>
    <w:rsid w:val="009856B8"/>
    <w:rsid w:val="0099122C"/>
    <w:rsid w:val="009B7DC6"/>
    <w:rsid w:val="009C12E9"/>
    <w:rsid w:val="009C6573"/>
    <w:rsid w:val="009E1EF8"/>
    <w:rsid w:val="009F1905"/>
    <w:rsid w:val="009F2424"/>
    <w:rsid w:val="009F554A"/>
    <w:rsid w:val="009F6F3F"/>
    <w:rsid w:val="00A002DF"/>
    <w:rsid w:val="00A07924"/>
    <w:rsid w:val="00A13267"/>
    <w:rsid w:val="00A13980"/>
    <w:rsid w:val="00A31EC7"/>
    <w:rsid w:val="00A359FD"/>
    <w:rsid w:val="00A5012C"/>
    <w:rsid w:val="00A760D0"/>
    <w:rsid w:val="00A76318"/>
    <w:rsid w:val="00A92D82"/>
    <w:rsid w:val="00A972B3"/>
    <w:rsid w:val="00AC4BE0"/>
    <w:rsid w:val="00AC4D21"/>
    <w:rsid w:val="00AD5884"/>
    <w:rsid w:val="00AD63F7"/>
    <w:rsid w:val="00AE1FF9"/>
    <w:rsid w:val="00AE6FD9"/>
    <w:rsid w:val="00AE79A9"/>
    <w:rsid w:val="00B0207E"/>
    <w:rsid w:val="00B0359E"/>
    <w:rsid w:val="00B07BA8"/>
    <w:rsid w:val="00B13AA5"/>
    <w:rsid w:val="00B15E21"/>
    <w:rsid w:val="00B236FD"/>
    <w:rsid w:val="00B2747B"/>
    <w:rsid w:val="00B35AF2"/>
    <w:rsid w:val="00B40DD6"/>
    <w:rsid w:val="00B4477D"/>
    <w:rsid w:val="00B47449"/>
    <w:rsid w:val="00B563DA"/>
    <w:rsid w:val="00B7737E"/>
    <w:rsid w:val="00BA2F77"/>
    <w:rsid w:val="00BA3BF7"/>
    <w:rsid w:val="00BA3E4B"/>
    <w:rsid w:val="00BB1B16"/>
    <w:rsid w:val="00BE1C4F"/>
    <w:rsid w:val="00BF0EF3"/>
    <w:rsid w:val="00C03969"/>
    <w:rsid w:val="00C1449E"/>
    <w:rsid w:val="00C15DAD"/>
    <w:rsid w:val="00C250FF"/>
    <w:rsid w:val="00C25320"/>
    <w:rsid w:val="00C321C3"/>
    <w:rsid w:val="00C56A2A"/>
    <w:rsid w:val="00C62093"/>
    <w:rsid w:val="00C6410A"/>
    <w:rsid w:val="00C94A04"/>
    <w:rsid w:val="00CA7032"/>
    <w:rsid w:val="00CA70AC"/>
    <w:rsid w:val="00CE28BC"/>
    <w:rsid w:val="00CE5392"/>
    <w:rsid w:val="00CE5633"/>
    <w:rsid w:val="00D07CEE"/>
    <w:rsid w:val="00D1274C"/>
    <w:rsid w:val="00D14770"/>
    <w:rsid w:val="00D220A4"/>
    <w:rsid w:val="00D26149"/>
    <w:rsid w:val="00D41CA6"/>
    <w:rsid w:val="00D60AC7"/>
    <w:rsid w:val="00D61B3E"/>
    <w:rsid w:val="00D700F9"/>
    <w:rsid w:val="00D75D4C"/>
    <w:rsid w:val="00D937B5"/>
    <w:rsid w:val="00DA3B4B"/>
    <w:rsid w:val="00DA6BD7"/>
    <w:rsid w:val="00DB4348"/>
    <w:rsid w:val="00DC42EA"/>
    <w:rsid w:val="00DC4C4A"/>
    <w:rsid w:val="00DC5C96"/>
    <w:rsid w:val="00DE0B2B"/>
    <w:rsid w:val="00DE2F9C"/>
    <w:rsid w:val="00DE7223"/>
    <w:rsid w:val="00DF248A"/>
    <w:rsid w:val="00E107F8"/>
    <w:rsid w:val="00E16972"/>
    <w:rsid w:val="00E30F4C"/>
    <w:rsid w:val="00E40383"/>
    <w:rsid w:val="00E60E26"/>
    <w:rsid w:val="00E63EFE"/>
    <w:rsid w:val="00E654C7"/>
    <w:rsid w:val="00E73984"/>
    <w:rsid w:val="00E83F3F"/>
    <w:rsid w:val="00E96247"/>
    <w:rsid w:val="00EA7A3A"/>
    <w:rsid w:val="00EC7912"/>
    <w:rsid w:val="00ED783C"/>
    <w:rsid w:val="00F1744C"/>
    <w:rsid w:val="00F31572"/>
    <w:rsid w:val="00F35A09"/>
    <w:rsid w:val="00F3640C"/>
    <w:rsid w:val="00F3795C"/>
    <w:rsid w:val="00F4462A"/>
    <w:rsid w:val="00F6771A"/>
    <w:rsid w:val="00F9300A"/>
    <w:rsid w:val="00F966AE"/>
    <w:rsid w:val="00FB2AD6"/>
    <w:rsid w:val="00FB6005"/>
    <w:rsid w:val="00FC4CD4"/>
    <w:rsid w:val="00FC6453"/>
    <w:rsid w:val="00FD279E"/>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basedOn w:val="a"/>
    <w:link w:val="af"/>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1893</TotalTime>
  <Pages>2</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118</cp:revision>
  <dcterms:created xsi:type="dcterms:W3CDTF">2022-08-01T08:42:00Z</dcterms:created>
  <dcterms:modified xsi:type="dcterms:W3CDTF">2022-08-09T08:29:00Z</dcterms:modified>
</cp:coreProperties>
</file>